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2016/66 vom 20. Februar 2015</w:t>
      </w:r>
    </w:p>
    <w:p>
      <w:r>
        <w:t>Sg Verwaltungsgericht, 2015-02-20, DE</w:t>
      </w:r>
    </w:p>
    <w:p>
      <w:r>
        <w:rPr>
          <w:b/>
        </w:rPr>
        <w:t xml:space="preserve">Quelle: </w:t>
      </w:r>
      <w:r>
        <w:t>https://mcp.opencaselaw.ch/entscheid/sg_publikationen_B 2016_66</w:t>
      </w:r>
    </w:p>
    <w:p>
      <w:r>
        <w:t>FR: SG_VERWALTUNGSGERICHT B 2016/66 du 20 février 2015</w:t>
      </w:r>
    </w:p>
    <w:p>
      <w:r>
        <w:t>IT: SG_VERWALTUNGSGERICHT B 2016/66 del 20 febbraio 2015</w:t>
      </w:r>
    </w:p>
    <w:p>
      <w:pPr>
        <w:pStyle w:val="Heading2"/>
      </w:pPr>
      <w:r>
        <w:t>Regeste</w:t>
      </w:r>
    </w:p>
    <w:p>
      <w:r>
        <w:t>Art. 13 Abs. 1 und 2 StG (sGS 811.1). Art. 3 Abs. 2 StHG (SR 642.14).Steuerrechtlicher Wohnsitz. Das Verwaltungsgericht bestätigte die Schlussfolgerung im vorinstanzlichen Entscheid, dass sich der steuerrechtliche Wohnsitz der Beschwerdegegnerin im Jahr 2014 im Kanton St. Gallen und nicht im Kanton Schwyz befunden habe (Verwaltungsgericht, B 2016/66).Die gegen dieses Urteil erhobene Beschwerde ans Bundesgericht wurde mit Urteil vom 29. März 2018 abgewiesen (Verfahren 2C_273/2018).</w:t>
      </w:r>
    </w:p>
    <w:p>
      <w:pPr>
        <w:pStyle w:val="Heading2"/>
      </w:pPr>
      <w:r>
        <w:t>Erwägungen</w:t>
      </w:r>
    </w:p>
    <w:p>
      <w:r>
        <w:rPr>
          <w:b/>
        </w:rPr>
        <w:t>E. 1</w:t>
      </w:r>
    </w:p>
    <w:p>
      <w:r>
        <w:t>(…).</w:t>
      </w:r>
    </w:p>
    <w:p>
      <w:r>
        <w:rPr>
          <w:b/>
        </w:rPr>
        <w:t>E. 2.1</w:t>
      </w:r>
    </w:p>
    <w:p>
      <w:r>
        <w:t>Streitig ist, ob die Vorinstanz im angefochtenen Entscheid zu Recht für die Steuerperiode 2014 eine unbeschränkte Steuerpflicht der Beschwerdeführerin im Kanton St. Gallen (Gemeinde X.) bejahte. Nach Art. 13 Abs. 1 StG sind natürliche Personen aufgrund persönlicher Zugehörigkeit steuerpflichtig, wenn sie ihren steuerrechtlichen Wohnsitz oder Aufenthalt im Kanton St. Gallen haben.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 132 I 29 E. 4.1). Diese Regelung entspricht den Vorgaben in Art. © Kanton St.Gallen 2026 Seite 3/11</w:t>
      </w:r>
    </w:p>
    <w:p>
      <w:r>
        <w:t>Publikationsplattform St.Galler Gerichte</w:t>
      </w:r>
    </w:p>
    <w:p>
      <w:r>
        <w:rPr>
          <w:b/>
        </w:rPr>
        <w:t>E. 2.2</w:t>
      </w:r>
    </w:p>
    <w:p>
      <w:r>
        <w:t>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zu einem neuen Wohnsitz ist dann vollzogen, wenn die Absicht des dauernden Verbleibs am neuen Wohnort tatsächlich gelebt wird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In Bezug auf die Beweislast gilt, dass steuerbegründende Tatsachen von der Steuerbehörde nachzuweisen sind, während den Steuerpflichtigen die Beweislast für Tatsachen trifft, die die Steuerschuld aufheben oder mindern. Die Steuerbehörde hat demnach den steuerrechtlichen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der steuerpflichtigen Person, den Nachweis für den von ihr behaupteten Lebensmittelpunkt ausserhalb des Kantons zu erbringen (BGer 2P.186/2004 vom 15. Februar 2005 E. 2.3).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(vgl. VerwGE B 2015/39 vom 26. Oktober 2016, E. 2.2, mit Hinweis auf BGer 2P.186/2004 vom 15. Februar 2005, E. 2.3, BGer 2P.203/2006 vom</w:t>
      </w:r>
    </w:p>
    <w:p>
      <w:r>
        <w:rPr>
          <w:b/>
        </w:rPr>
        <w:t>E. 3</w:t>
      </w:r>
    </w:p>
    <w:p>
      <w:r>
        <w:t>Abs. 2 des Bundesgesetzes über die Harmonisierung der direkten Steuern der Kantone und Gemeinden (SR 642.14, StHG) und lehnt sich weitgehend (vgl. BGE 138 II 300 E. 5.3) an den zivilrechtlichen Wohnsitzbegriff an (Art. 23 Abs. 1 des Schweizerischen Zivilgesetzbuches, SR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